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32D78">
      <w:pPr>
        <w:spacing w:after="320"/>
      </w:pPr>
    </w:p>
    <w:p w14:paraId="59146E44">
      <w:pPr>
        <w:spacing w:before="0" w:after="80" w:line="240" w:lineRule="auto"/>
        <w:jc w:val="center"/>
        <w:rPr>
          <w:rFonts w:hint="eastAsia" w:cs="Calibri"/>
          <w:b/>
          <w:color w:val="1F1F1F"/>
          <w:sz w:val="46"/>
          <w:lang w:val="en-US" w:eastAsia="zh-CN"/>
        </w:rPr>
      </w:pPr>
      <w:r>
        <w:rPr>
          <w:rFonts w:ascii="Calibri" w:hAnsi="Calibri" w:eastAsia="等线" w:cs="Calibri"/>
          <w:b/>
          <w:color w:val="1F1F1F"/>
          <w:sz w:val="46"/>
        </w:rPr>
        <w:t>静态分析摘要</w:t>
      </w:r>
    </w:p>
    <w:p w14:paraId="326FABAE">
      <w:pPr>
        <w:spacing w:before="0" w:after="80" w:line="240" w:lineRule="auto"/>
        <w:jc w:val="left"/>
        <w:rPr>
          <w:rFonts w:hint="default" w:eastAsia="等线"/>
          <w:b w:val="0"/>
          <w:bCs/>
          <w:sz w:val="20"/>
          <w:szCs w:val="20"/>
          <w:lang w:val="en-US" w:eastAsia="zh-CN"/>
        </w:rPr>
      </w:pPr>
      <w:r>
        <w:rPr>
          <w:rFonts w:hint="eastAsia" w:cs="Calibri"/>
          <w:b w:val="0"/>
          <w:bCs/>
          <w:color w:val="1F1F1F"/>
          <w:sz w:val="46"/>
          <w:lang w:val="en-US" w:eastAsia="zh-CN"/>
        </w:rPr>
        <w:t xml:space="preserve">  </w:t>
      </w:r>
      <w:r>
        <w:rPr>
          <w:rFonts w:hint="eastAsia" w:cs="Calibri"/>
          <w:b w:val="0"/>
          <w:bCs/>
          <w:color w:val="1F1F1F"/>
          <w:sz w:val="40"/>
          <w:szCs w:val="20"/>
          <w:lang w:val="en-US" w:eastAsia="zh-CN"/>
        </w:rPr>
        <w:t>SA作为双转举例，msi.rom为HMA文件</w:t>
      </w:r>
    </w:p>
    <w:p w14:paraId="4B2C367B">
      <w:pPr>
        <w:spacing w:before="0" w:after="320" w:line="264" w:lineRule="auto"/>
      </w:pPr>
      <w:r>
        <w:rPr>
          <w:rFonts w:ascii="Calibri" w:hAnsi="Calibri" w:eastAsia="等线" w:cs="Calibri"/>
          <w:color w:val="5B6573"/>
          <w:sz w:val="28"/>
        </w:rPr>
        <w:t>SA.exe 与 msi.rom 的独立分析、证据边界与主机物理内存访问比较</w:t>
      </w:r>
    </w:p>
    <w:tbl>
      <w:tblPr>
        <w:tblStyle w:val="32"/>
        <w:tblpPr w:leftFromText="180" w:rightFromText="180" w:vertAnchor="text" w:horzAnchor="page" w:tblpX="1506" w:tblpY="236"/>
        <w:tblOverlap w:val="never"/>
        <w:tblW w:w="93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7F1B5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9360" w:type="dxa"/>
            <w:tcBorders>
              <w:top w:val="single" w:color="D7DEE8" w:sz="6" w:space="0"/>
              <w:left w:val="single" w:color="D7DEE8" w:sz="6" w:space="0"/>
              <w:bottom w:val="single" w:color="D7DEE8" w:sz="6" w:space="0"/>
              <w:right w:val="single" w:color="D7DEE8" w:sz="6" w:space="0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92BBFA">
            <w:pPr>
              <w:spacing w:before="0" w:after="0" w:line="264" w:lineRule="auto"/>
              <w:jc w:val="left"/>
            </w:pPr>
            <w:r>
              <w:rPr>
                <w:rFonts w:ascii="Calibri" w:hAnsi="Calibri" w:eastAsia="等线" w:cs="Calibri"/>
                <w:b/>
                <w:color w:val="1F4D78"/>
                <w:sz w:val="21"/>
              </w:rPr>
              <w:t>核心结论</w:t>
            </w:r>
          </w:p>
        </w:tc>
      </w:tr>
      <w:tr w14:paraId="7DFD4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4" w:hRule="atLeast"/>
        </w:trPr>
        <w:tc>
          <w:tcPr>
            <w:tcW w:w="9360" w:type="dxa"/>
            <w:tcBorders>
              <w:top w:val="single" w:color="D7DEE8" w:sz="6" w:space="0"/>
              <w:left w:val="single" w:color="D7DEE8" w:sz="6" w:space="0"/>
              <w:bottom w:val="single" w:color="D7DEE8" w:sz="6" w:space="0"/>
              <w:right w:val="single" w:color="D7DEE8" w:sz="6" w:space="0"/>
            </w:tcBorders>
            <w:shd w:val="clear" w:color="auto" w:fill="F4F6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tbl>
            <w:tblPr>
              <w:tblStyle w:val="32"/>
              <w:tblpPr w:leftFromText="180" w:rightFromText="180" w:vertAnchor="text" w:horzAnchor="page" w:tblpX="1429" w:tblpY="203"/>
              <w:tblOverlap w:val="never"/>
              <w:tblW w:w="936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60"/>
              <w:gridCol w:w="3750"/>
              <w:gridCol w:w="3750"/>
            </w:tblGrid>
            <w:tr w14:paraId="35439B7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Header/>
              </w:trPr>
              <w:tc>
                <w:tcPr>
                  <w:tcW w:w="186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shd w:val="clear" w:color="auto" w:fill="F2F4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360D82BC">
                  <w:pPr>
                    <w:spacing w:before="0" w:after="0" w:line="264" w:lineRule="auto"/>
                    <w:jc w:val="center"/>
                  </w:pPr>
                  <w:r>
                    <w:rPr>
                      <w:rFonts w:ascii="Calibri" w:hAnsi="Calibri" w:eastAsia="等线" w:cs="Calibri"/>
                      <w:b/>
                      <w:color w:val="1F4D78"/>
                      <w:sz w:val="20"/>
                    </w:rPr>
                    <w:t>对比维度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shd w:val="clear" w:color="auto" w:fill="F2F4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410636EF">
                  <w:pPr>
                    <w:spacing w:before="0" w:after="0" w:line="264" w:lineRule="auto"/>
                    <w:jc w:val="center"/>
                  </w:pPr>
                  <w:r>
                    <w:rPr>
                      <w:rFonts w:ascii="Calibri" w:hAnsi="Calibri" w:eastAsia="等线" w:cs="Calibri"/>
                      <w:b/>
                      <w:color w:val="1F4D78"/>
                      <w:sz w:val="20"/>
                    </w:rPr>
                    <w:t>SA.exe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shd w:val="clear" w:color="auto" w:fill="F2F4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40BC2C48">
                  <w:pPr>
                    <w:spacing w:before="0" w:after="0" w:line="264" w:lineRule="auto"/>
                    <w:jc w:val="center"/>
                  </w:pPr>
                  <w:r>
                    <w:rPr>
                      <w:rFonts w:ascii="Calibri" w:hAnsi="Calibri" w:eastAsia="等线" w:cs="Calibri"/>
                      <w:b/>
                      <w:color w:val="1F4D78"/>
                      <w:sz w:val="20"/>
                    </w:rPr>
                    <w:t>msi.rom</w:t>
                  </w:r>
                </w:p>
              </w:tc>
            </w:tr>
            <w:tr w14:paraId="590D655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shd w:val="clear" w:color="auto" w:fill="F2F4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2877630B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/>
                      <w:color w:val="1F4D78"/>
                      <w:sz w:val="18"/>
                    </w:rPr>
                    <w:t>样本身份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3377F555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未签名的原生 Windows x64 PE32+ 控制台程序；16,941,568 字节。</w:t>
                  </w: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br w:type="textWrapping"/>
                  </w: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SHA-256: D7316D52B5CC80B29849D8AB8C71CE6242873E69666188158C1ED1A32F7999BD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7B77F9E0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32 MiB AMD UEFI/BIOS 固件镜像，含 AMD PSP 目录和多个 UEFI 固件卷。</w:t>
                  </w: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br w:type="textWrapping"/>
                  </w: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SHA-256: 0E99C6EF957F7AA7E84FF46DA09E4685BAB8C3D6E0D3FFF455650D8D82A8D9E8</w:t>
                  </w:r>
                </w:p>
              </w:tc>
            </w:tr>
            <w:tr w14:paraId="314A205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shd w:val="clear" w:color="auto" w:fill="F2F4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196D41CB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/>
                      <w:color w:val="1F4D78"/>
                      <w:sz w:val="18"/>
                    </w:rPr>
                    <w:t>文件未执行时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64A9C710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只是磁盘上的可执行文件；不会产生内存访问行为。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586D67B8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只是磁盘上的固件镜像；不会产生内存访问行为。</w:t>
                  </w:r>
                </w:p>
              </w:tc>
            </w:tr>
            <w:tr w14:paraId="7B7A324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shd w:val="clear" w:color="auto" w:fill="F2F4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64BF8A84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/>
                      <w:color w:val="1F4D78"/>
                      <w:sz w:val="18"/>
                    </w:rPr>
                    <w:t>运行前提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3CE8A971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需要在 Windows 中启动</w:t>
                  </w:r>
                  <w:r>
                    <w:rPr>
                      <w:rFonts w:hint="eastAsia" w:cs="Calibri"/>
                      <w:b w:val="0"/>
                      <w:color w:val="1F1F1F"/>
                      <w:sz w:val="18"/>
                      <w:lang w:val="en-US" w:eastAsia="zh-CN"/>
                    </w:rPr>
                    <w:t>并有进程留存</w:t>
                  </w: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若其代码使用驱动，还需要安装并加载相关服务/驱动。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3DDA2410">
                  <w:pPr>
                    <w:spacing w:before="0" w:after="0" w:line="264" w:lineRule="auto"/>
                    <w:jc w:val="left"/>
                    <w:rPr>
                      <w:rFonts w:hint="default" w:eastAsia="等线"/>
                      <w:lang w:val="en-US" w:eastAsia="zh-CN"/>
                    </w:rPr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需要被刷入完全匹配的硬件，且相关固件代码在启动或固件运行环境中得到执行</w:t>
                  </w:r>
                  <w:r>
                    <w:rPr>
                      <w:rFonts w:hint="eastAsia" w:cs="Calibri"/>
                      <w:b w:val="0"/>
                      <w:color w:val="1F1F1F"/>
                      <w:sz w:val="18"/>
                      <w:lang w:eastAsia="zh-CN"/>
                    </w:rPr>
                    <w:t>，</w:t>
                  </w:r>
                  <w:r>
                    <w:rPr>
                      <w:rFonts w:hint="eastAsia" w:cs="Calibri"/>
                      <w:b w:val="0"/>
                      <w:color w:val="1F1F1F"/>
                      <w:sz w:val="18"/>
                      <w:lang w:val="en-US" w:eastAsia="zh-CN"/>
                    </w:rPr>
                    <w:t>非windos进程项</w:t>
                  </w:r>
                </w:p>
              </w:tc>
            </w:tr>
            <w:tr w14:paraId="260487A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shd w:val="clear" w:color="auto" w:fill="F2F4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74B89DF6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/>
                      <w:color w:val="1F4D78"/>
                      <w:sz w:val="18"/>
                    </w:rPr>
                    <w:t>结构与可信度线索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2CE92534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未见数字签名或版本/发行者信息；存在非标准节与高熵可执行载荷，符合自定义加载、压缩或混淆的静态特征。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22DD2E2C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可见 AMD 平台固件组成，包括 AGESA、PSP、SMU、DXIO、AMD-TEE、Pluton 等线索。</w:t>
                  </w:r>
                </w:p>
              </w:tc>
            </w:tr>
            <w:tr w14:paraId="548CCE2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shd w:val="clear" w:color="auto" w:fill="F2F4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3DFC3AAA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/>
                      <w:color w:val="1F4D78"/>
                      <w:sz w:val="18"/>
                    </w:rPr>
                    <w:t>已发现的进程/服务能力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6993D106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导入 CreateToolhelp32Snapshot、Process32Next、NtQuerySystemInformation；还导入 CreateServiceW、OpenServiceW、StartServiceW、ControlService、DeleteService。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3888CDCA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该类固件负责平台启动与硬件初始化；当前检查没有把它识别为 Windows 进程、服务或驱动样本。</w:t>
                  </w:r>
                </w:p>
              </w:tc>
            </w:tr>
            <w:tr w14:paraId="670D557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shd w:val="clear" w:color="auto" w:fill="F2F4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6BBB4BB6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/>
                      <w:color w:val="1F4D78"/>
                      <w:sz w:val="18"/>
                    </w:rPr>
                    <w:t>已发现的内存/硬件线索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2159C2CA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存在名为 DRIVER</w:t>
                  </w:r>
                  <w:r>
                    <w:rPr>
                      <w:rFonts w:hint="eastAsia" w:cs="Calibri"/>
                      <w:b w:val="0"/>
                      <w:color w:val="1F1F1F"/>
                      <w:sz w:val="18"/>
                      <w:lang w:val="en-US" w:eastAsia="zh-CN"/>
                    </w:rPr>
                    <w:t>驱动</w:t>
                  </w: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 xml:space="preserve"> 的资源项、NtCreateFile/NtWriteFile 和网络套接字导入；资源主体在当前静态映像中无法完整验证。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5F31B11E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发现 GetDFMasterDramAddrInfo、GetUmcDramAddrInfo、VBL_InitDefaultPageMem、Read UMC config、MapSysHubFchMMIO、Svc_MapSmnOnCurrentDie 等 DRAM/MMIO/</w:t>
                  </w:r>
                  <w:r>
                    <w:rPr>
                      <w:rFonts w:hint="eastAsia" w:cs="Calibri"/>
                      <w:b w:val="0"/>
                      <w:color w:val="1F1F1F"/>
                      <w:sz w:val="18"/>
                      <w:lang w:val="en-US" w:eastAsia="zh-CN"/>
                    </w:rPr>
                    <w:t>固件</w:t>
                  </w: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访问线索。</w:t>
                  </w:r>
                </w:p>
              </w:tc>
            </w:tr>
            <w:tr w14:paraId="12F00A0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shd w:val="clear" w:color="auto" w:fill="F2F4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52C63464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/>
                      <w:color w:val="1F4D78"/>
                      <w:sz w:val="18"/>
                    </w:rPr>
                    <w:t>直接读内存 API 证据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14782B80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直接导入表</w:t>
                  </w:r>
                  <w:r>
                    <w:rPr>
                      <w:rFonts w:hint="eastAsia" w:cs="Calibri"/>
                      <w:b w:val="0"/>
                      <w:color w:val="1F1F1F"/>
                      <w:sz w:val="18"/>
                      <w:lang w:val="en-US" w:eastAsia="zh-CN"/>
                    </w:rPr>
                    <w:t>发现</w:t>
                  </w: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 xml:space="preserve"> ReadProcessMemory、NtReadVirtualMemory、VirtualQueryEx、WriteProcessMemory、NtWriteVirtualMemory、DeviceIoControl 或 MiniDumpWriteDump。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2C95341A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未发现 ReadPhysicalMemory、MapPhysical、MmCopyMemory、任意物理地址读取、内存转储或数据外传的明确接口/字符串。</w:t>
                  </w:r>
                </w:p>
              </w:tc>
            </w:tr>
            <w:tr w14:paraId="06D10C0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7" w:hRule="atLeast"/>
              </w:trPr>
              <w:tc>
                <w:tcPr>
                  <w:tcW w:w="186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shd w:val="clear" w:color="auto" w:fill="F2F4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1F7D7350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/>
                      <w:color w:val="1F4D78"/>
                      <w:sz w:val="18"/>
                    </w:rPr>
                    <w:t>可证明的内存结论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698FD4DC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当前只能确认其具有进程枚举、服务/驱动管理和网络通信相关线索；不能证明它实际读取了其他进程内存或主机物理内存。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3BA365D0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当前可确认固件启动阶段涉及 DRAM、MMIO 和内存控制器配置；不能证明它在操作系统运行时任意读取、保存或外传全部物理内存。</w:t>
                  </w:r>
                </w:p>
              </w:tc>
            </w:tr>
            <w:tr w14:paraId="321A448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19" w:hRule="atLeast"/>
              </w:trPr>
              <w:tc>
                <w:tcPr>
                  <w:tcW w:w="186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shd w:val="clear" w:color="auto" w:fill="F2F4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3F2E8AA5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/>
                      <w:color w:val="1F4D78"/>
                      <w:sz w:val="18"/>
                    </w:rPr>
                    <w:t>操作系统中的可见性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4ED13FAB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通常较高：进程、文件、服务、驱动和网络活动有机会被系统日志或安全工具观测。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6136D339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FF0000"/>
                      <w:sz w:val="18"/>
                    </w:rPr>
                    <w:t>不存在运行时可见性问题。若恶意固件代码已刷入并运行，通常低于操作系统可见层；</w:t>
                  </w: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但本镜像未被证明含恶意逻辑。</w:t>
                  </w:r>
                </w:p>
              </w:tc>
            </w:tr>
            <w:tr w14:paraId="622DEAF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91" w:hRule="atLeast"/>
              </w:trPr>
              <w:tc>
                <w:tcPr>
                  <w:tcW w:w="186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shd w:val="clear" w:color="auto" w:fill="F2F4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25BC1A40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/>
                      <w:color w:val="1F4D78"/>
                      <w:sz w:val="18"/>
                    </w:rPr>
                    <w:t>持久性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7C45ED86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通常可通过删除程序、服务或驱动进行处置。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553DEEC7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若被刷入固件闪存，通常可跨操作系统重装保留，处置难度更高。</w:t>
                  </w:r>
                </w:p>
              </w:tc>
            </w:tr>
            <w:tr w14:paraId="2F055FD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shd w:val="clear" w:color="auto" w:fill="F2F4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73F3E3E5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/>
                      <w:color w:val="1F4D78"/>
                      <w:sz w:val="18"/>
                    </w:rPr>
                    <w:t>谁会更隐蔽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173DE694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在实际执行时，普通 Windows 程序或驱动通常更容易被操作系统层观测。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435DECB1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从通用架构角度，已刷入并执行的恶意固件通常更隐蔽、持久性更强；这不等于本 msi.rom 含有后门。</w:t>
                  </w:r>
                </w:p>
              </w:tc>
            </w:tr>
            <w:tr w14:paraId="1D9FB51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shd w:val="clear" w:color="auto" w:fill="F2F4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16934755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/>
                      <w:color w:val="1F4D78"/>
                      <w:sz w:val="18"/>
                    </w:rPr>
                    <w:t>两文件的关系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7B4A4B23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作为独立样本分析。当前没有证据表明它与 msi.rom 来自同一作者、彼此配合或具有运行时关联。</w:t>
                  </w:r>
                </w:p>
              </w:tc>
              <w:tc>
                <w:tcPr>
                  <w:tcW w:w="3750" w:type="dxa"/>
                  <w:tcBorders>
                    <w:top w:val="single" w:color="C9D1D9" w:sz="4" w:space="0"/>
                    <w:left w:val="single" w:color="C9D1D9" w:sz="4" w:space="0"/>
                    <w:bottom w:val="single" w:color="C9D1D9" w:sz="4" w:space="0"/>
                    <w:right w:val="single" w:color="C9D1D9" w:sz="4" w:space="0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1C32FB76">
                  <w:pPr>
                    <w:spacing w:before="0" w:after="0" w:line="264" w:lineRule="auto"/>
                    <w:jc w:val="left"/>
                  </w:pPr>
                  <w:r>
                    <w:rPr>
                      <w:rFonts w:ascii="Calibri" w:hAnsi="Calibri" w:eastAsia="等线" w:cs="Calibri"/>
                      <w:b w:val="0"/>
                      <w:color w:val="1F1F1F"/>
                      <w:sz w:val="18"/>
                    </w:rPr>
                    <w:t>作为独立样本分析。当前没有证据表明它与 SA.exe 来自同一作者、彼此配合或具有运行时关联。</w:t>
                  </w:r>
                </w:p>
              </w:tc>
            </w:tr>
          </w:tbl>
          <w:p w14:paraId="497697CE">
            <w:pPr>
              <w:spacing w:before="0" w:after="0" w:line="264" w:lineRule="auto"/>
              <w:jc w:val="left"/>
            </w:pPr>
            <w:r>
              <w:rPr>
                <w:rFonts w:ascii="Calibri" w:hAnsi="Calibri" w:eastAsia="等线" w:cs="Calibri"/>
                <w:b w:val="0"/>
                <w:color w:val="FF0000"/>
                <w:sz w:val="28"/>
                <w:szCs w:val="32"/>
              </w:rPr>
              <w:t>就“谁读取主机物理内存会更隐蔽”这一比较而言：在恶意固件代码已经被刷入且实际执行的假设下，固件层通常比 Windows 程序或驱动更难从操作系统中观测。</w:t>
            </w:r>
            <w:r>
              <w:rPr>
                <w:rFonts w:hint="eastAsia" w:cs="Calibri"/>
                <w:b w:val="0"/>
                <w:color w:val="FF0000"/>
                <w:sz w:val="28"/>
                <w:szCs w:val="32"/>
                <w:lang w:val="en-US" w:eastAsia="zh-CN"/>
              </w:rPr>
              <w:t>也就是说msi.rom比SA.exe具备更高的隐蔽性</w:t>
            </w:r>
          </w:p>
        </w:tc>
      </w:tr>
    </w:tbl>
    <w:p w14:paraId="1A236F62">
      <w:pPr>
        <w:spacing w:after="40"/>
      </w:pPr>
    </w:p>
    <w:p w14:paraId="2EF93C0F">
      <w:pPr>
        <w:spacing w:after="40"/>
      </w:pPr>
    </w:p>
    <w:p w14:paraId="6574E808">
      <w:pPr>
        <w:spacing w:after="40"/>
      </w:pPr>
    </w:p>
    <w:p w14:paraId="47C51625">
      <w:pPr>
        <w:spacing w:after="40"/>
      </w:pPr>
    </w:p>
    <w:p w14:paraId="444BBF20">
      <w:pPr>
        <w:spacing w:after="60"/>
      </w:pPr>
    </w:p>
    <w:p w14:paraId="19B8D0F8">
      <w:pPr>
        <w:spacing w:after="40"/>
      </w:pPr>
    </w:p>
    <w:p w14:paraId="774FE918">
      <w:bookmarkStart w:id="0" w:name="_GoBack"/>
      <w:bookmarkEnd w:id="0"/>
    </w:p>
    <w:p w14:paraId="7D623214">
      <w:pPr>
        <w:spacing w:after="60"/>
      </w:pPr>
    </w:p>
    <w:sectPr>
      <w:headerReference r:id="rId5" w:type="default"/>
      <w:footerReference r:id="rId6" w:type="default"/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6B8D1">
    <w:pPr>
      <w:pStyle w:val="24"/>
      <w:spacing w:before="0" w:after="0" w:line="240" w:lineRule="auto"/>
      <w:jc w:val="right"/>
    </w:pPr>
    <w:r>
      <w:rPr>
        <w:rFonts w:ascii="Calibri" w:hAnsi="Calibri" w:eastAsia="等线" w:cs="Calibri"/>
        <w:color w:val="5B6573"/>
        <w:sz w:val="17"/>
      </w:rPr>
      <w:t xml:space="preserve">仅基于静态证据 | 2026-08-25 | 第 </w:t>
    </w:r>
    <w:r>
      <w:rPr>
        <w:rFonts w:ascii="Calibri" w:hAnsi="Calibri" w:eastAsia="等线" w:cs="Calibri"/>
        <w:color w:val="5B6573"/>
        <w:sz w:val="17"/>
      </w:rPr>
      <w:fldChar w:fldCharType="begin"/>
    </w:r>
    <w:r>
      <w:rPr>
        <w:rFonts w:ascii="Calibri" w:hAnsi="Calibri" w:eastAsia="等线" w:cs="Calibri"/>
        <w:color w:val="5B6573"/>
        <w:sz w:val="17"/>
      </w:rPr>
      <w:instrText xml:space="preserve"> PAGE </w:instrText>
    </w:r>
    <w:r>
      <w:rPr>
        <w:rFonts w:ascii="Calibri" w:hAnsi="Calibri" w:eastAsia="等线" w:cs="Calibri"/>
        <w:color w:val="5B6573"/>
        <w:sz w:val="17"/>
      </w:rPr>
      <w:fldChar w:fldCharType="separate"/>
    </w:r>
    <w:r>
      <w:rPr>
        <w:rFonts w:ascii="Calibri" w:hAnsi="Calibri" w:eastAsia="等线" w:cs="Calibri"/>
        <w:color w:val="5B6573"/>
        <w:sz w:val="17"/>
      </w:rPr>
      <w:t>1</w:t>
    </w:r>
    <w:r>
      <w:rPr>
        <w:rFonts w:ascii="Calibri" w:hAnsi="Calibri" w:eastAsia="等线" w:cs="Calibri"/>
        <w:color w:val="5B6573"/>
        <w:sz w:val="17"/>
      </w:rPr>
      <w:fldChar w:fldCharType="end"/>
    </w:r>
    <w:r>
      <w:rPr>
        <w:rFonts w:ascii="Calibri" w:hAnsi="Calibri" w:eastAsia="等线" w:cs="Calibri"/>
        <w:color w:val="5B6573"/>
        <w:sz w:val="17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8CE9F">
    <w:pPr>
      <w:pStyle w:val="25"/>
      <w:spacing w:before="0" w:after="0" w:line="240" w:lineRule="auto"/>
      <w:jc w:val="left"/>
    </w:pPr>
    <w:r>
      <w:rPr>
        <w:rFonts w:ascii="Calibri" w:hAnsi="Calibri" w:eastAsia="等线" w:cs="Calibri"/>
        <w:b/>
        <w:color w:val="5B6573"/>
        <w:sz w:val="17"/>
      </w:rPr>
      <w:t>静态分析摘要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0C6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120" w:line="264" w:lineRule="auto"/>
    </w:pPr>
    <w:rPr>
      <w:rFonts w:ascii="Calibri" w:hAnsi="Calibri" w:eastAsia="等线" w:cstheme="minorBidi"/>
      <w:color w:val="1F1F1F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320" w:after="160" w:line="264" w:lineRule="auto"/>
      <w:outlineLvl w:val="0"/>
    </w:pPr>
    <w:rPr>
      <w:rFonts w:asciiTheme="majorHAnsi" w:hAnsiTheme="majorHAnsi" w:eastAsiaTheme="majorEastAsia" w:cstheme="majorBidi"/>
      <w:b/>
      <w:bCs/>
      <w:color w:val="2E74B5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40" w:after="120" w:line="264" w:lineRule="auto"/>
      <w:outlineLvl w:val="1"/>
    </w:pPr>
    <w:rPr>
      <w:rFonts w:asciiTheme="majorHAnsi" w:hAnsiTheme="majorHAnsi" w:eastAsiaTheme="majorEastAsia" w:cstheme="majorBidi"/>
      <w:b/>
      <w:bCs/>
      <w:color w:val="2E74B5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160" w:after="80" w:line="264" w:lineRule="auto"/>
      <w:outlineLvl w:val="2"/>
    </w:pPr>
    <w:rPr>
      <w:rFonts w:asciiTheme="majorHAnsi" w:hAnsiTheme="majorHAnsi" w:eastAsiaTheme="majorEastAsia" w:cstheme="majorBidi"/>
      <w:b/>
      <w:bCs/>
      <w:color w:val="1F4D78"/>
      <w:sz w:val="24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1614</Words>
  <Characters>2387</Characters>
  <Lines>0</Lines>
  <Paragraphs>0</Paragraphs>
  <TotalTime>3</TotalTime>
  <ScaleCrop>false</ScaleCrop>
  <LinksUpToDate>false</LinksUpToDate>
  <CharactersWithSpaces>2463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吖比电竞</dc:creator>
  <dc:description>仅基于只读静态检查。</dc:description>
  <cp:lastModifiedBy>吖比电竞</cp:lastModifiedBy>
  <dcterms:modified xsi:type="dcterms:W3CDTF">2026-08-25T13:09:45Z</dcterms:modified>
  <dc:subject>两个独立样本的静态分析、证据边界与物理内存访问比较</dc:subject>
  <dc:title>SA.exe 与 msi.rom 静态分析摘要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eyJoZGlkIjoiMTkzY2I0MTRlYWUwODQ0MmRkODAwOGQ4Mzg0ZGFlZWIiLCJ1c2VySWQiOiIyMDYyODg5MjkifQ==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3FEF61BC37EB4591B132242FAF48AA41_13</vt:lpwstr>
  </property>
</Properties>
</file>